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1B" w:rsidRPr="00515B6A" w:rsidRDefault="00263B90" w:rsidP="00263B90">
      <w:pPr>
        <w:tabs>
          <w:tab w:val="left" w:pos="4687"/>
        </w:tabs>
        <w:jc w:val="center"/>
        <w:rPr>
          <w:rFonts w:cstheme="minorHAnsi"/>
        </w:rPr>
      </w:pPr>
      <w:r>
        <w:rPr>
          <w:rFonts w:ascii="Times New Roman"/>
          <w:noProof/>
          <w:sz w:val="20"/>
          <w:lang w:eastAsia="en-GB"/>
        </w:rPr>
        <w:drawing>
          <wp:inline distT="0" distB="0" distL="0" distR="0" wp14:anchorId="6B4865D2" wp14:editId="537719D5">
            <wp:extent cx="2660332" cy="13555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660332" cy="1355502"/>
                    </a:xfrm>
                    <a:prstGeom prst="rect">
                      <a:avLst/>
                    </a:prstGeom>
                  </pic:spPr>
                </pic:pic>
              </a:graphicData>
            </a:graphic>
          </wp:inline>
        </w:drawing>
      </w:r>
    </w:p>
    <w:p w:rsidR="00F74B1B" w:rsidRPr="00515B6A" w:rsidRDefault="00F74B1B" w:rsidP="00F74B1B">
      <w:pPr>
        <w:rPr>
          <w:rFonts w:cstheme="minorHAnsi"/>
        </w:rPr>
      </w:pPr>
    </w:p>
    <w:p w:rsidR="00F74B1B" w:rsidRPr="00515B6A" w:rsidRDefault="00F74B1B" w:rsidP="00F74B1B">
      <w:pPr>
        <w:rPr>
          <w:rFonts w:cstheme="minorHAnsi"/>
        </w:rPr>
      </w:pPr>
      <w:r w:rsidRPr="00515B6A">
        <w:rPr>
          <w:rFonts w:cstheme="minorHAnsi"/>
          <w:noProof/>
          <w:lang w:eastAsia="en-GB"/>
        </w:rPr>
        <w:drawing>
          <wp:inline distT="0" distB="0" distL="0" distR="0" wp14:anchorId="2E03A1B7" wp14:editId="73D06841">
            <wp:extent cx="6375539" cy="26156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4155" t="48262" r="10875" b="15381"/>
                    <a:stretch/>
                  </pic:blipFill>
                  <pic:spPr bwMode="auto">
                    <a:xfrm>
                      <a:off x="0" y="0"/>
                      <a:ext cx="6422800" cy="2634998"/>
                    </a:xfrm>
                    <a:prstGeom prst="rect">
                      <a:avLst/>
                    </a:prstGeom>
                    <a:ln>
                      <a:noFill/>
                    </a:ln>
                    <a:extLst>
                      <a:ext uri="{53640926-AAD7-44D8-BBD7-CCE9431645EC}">
                        <a14:shadowObscured xmlns:a14="http://schemas.microsoft.com/office/drawing/2010/main"/>
                      </a:ext>
                    </a:extLst>
                  </pic:spPr>
                </pic:pic>
              </a:graphicData>
            </a:graphic>
          </wp:inline>
        </w:drawing>
      </w:r>
    </w:p>
    <w:p w:rsidR="00F74B1B" w:rsidRPr="00515B6A" w:rsidRDefault="00F74B1B" w:rsidP="00F74B1B">
      <w:pPr>
        <w:rPr>
          <w:rFonts w:cstheme="minorHAnsi"/>
        </w:rPr>
      </w:pPr>
    </w:p>
    <w:p w:rsidR="00F74B1B" w:rsidRPr="00515B6A" w:rsidRDefault="00F74B1B" w:rsidP="00F74B1B">
      <w:pPr>
        <w:rPr>
          <w:rFonts w:cstheme="minorHAnsi"/>
        </w:rPr>
      </w:pPr>
    </w:p>
    <w:p w:rsidR="00F74B1B" w:rsidRPr="00515B6A" w:rsidRDefault="00F74B1B" w:rsidP="00F74B1B">
      <w:pPr>
        <w:rPr>
          <w:rFonts w:cstheme="minorHAnsi"/>
        </w:rPr>
      </w:pPr>
    </w:p>
    <w:p w:rsidR="00F74B1B" w:rsidRPr="00515B6A" w:rsidRDefault="00F74B1B" w:rsidP="00F74B1B">
      <w:pPr>
        <w:rPr>
          <w:rFonts w:cstheme="minorHAnsi"/>
        </w:rPr>
      </w:pPr>
    </w:p>
    <w:p w:rsidR="00F74B1B" w:rsidRPr="00515B6A" w:rsidRDefault="00F74B1B" w:rsidP="00F74B1B">
      <w:pPr>
        <w:rPr>
          <w:rFonts w:cstheme="minorHAnsi"/>
        </w:rPr>
      </w:pPr>
    </w:p>
    <w:p w:rsidR="00F74B1B" w:rsidRPr="00515B6A" w:rsidRDefault="00F74B1B" w:rsidP="00F74B1B">
      <w:pPr>
        <w:rPr>
          <w:rFonts w:cstheme="minorHAnsi"/>
        </w:rPr>
      </w:pPr>
    </w:p>
    <w:p w:rsidR="00F74B1B" w:rsidRDefault="00F74B1B" w:rsidP="00F74B1B">
      <w:pPr>
        <w:rPr>
          <w:rFonts w:cstheme="minorHAnsi"/>
        </w:rPr>
      </w:pPr>
    </w:p>
    <w:p w:rsidR="00263B90" w:rsidRPr="00515B6A" w:rsidRDefault="00263B90" w:rsidP="00F74B1B">
      <w:pPr>
        <w:rPr>
          <w:rFonts w:cstheme="minorHAnsi"/>
        </w:rPr>
      </w:pPr>
    </w:p>
    <w:p w:rsidR="00F74B1B" w:rsidRPr="00515B6A" w:rsidRDefault="00F74B1B" w:rsidP="00F74B1B">
      <w:pPr>
        <w:shd w:val="clear" w:color="auto" w:fill="FFFFFF"/>
        <w:spacing w:before="156" w:after="156" w:line="360" w:lineRule="atLeast"/>
        <w:rPr>
          <w:rFonts w:eastAsia="Times New Roman" w:cstheme="minorHAnsi"/>
          <w:bCs/>
          <w:iCs/>
          <w:color w:val="000000" w:themeColor="text1"/>
          <w:lang w:eastAsia="en-GB"/>
        </w:rPr>
      </w:pPr>
    </w:p>
    <w:p w:rsidR="00F74B1B" w:rsidRPr="00515B6A" w:rsidRDefault="00F74B1B" w:rsidP="00F74B1B">
      <w:pPr>
        <w:shd w:val="clear" w:color="auto" w:fill="FFFFFF"/>
        <w:spacing w:before="156" w:after="156" w:line="360" w:lineRule="atLeast"/>
        <w:rPr>
          <w:rFonts w:eastAsia="Times New Roman" w:cstheme="minorHAnsi"/>
          <w:bCs/>
          <w:iCs/>
          <w:color w:val="000000" w:themeColor="text1"/>
          <w:lang w:eastAsia="en-GB"/>
        </w:rPr>
      </w:pPr>
    </w:p>
    <w:p w:rsidR="00F74B1B" w:rsidRPr="00515B6A" w:rsidRDefault="00F74B1B" w:rsidP="00F74B1B">
      <w:pPr>
        <w:shd w:val="clear" w:color="auto" w:fill="FFFFFF"/>
        <w:spacing w:before="156" w:after="156" w:line="360" w:lineRule="atLeast"/>
        <w:rPr>
          <w:rFonts w:eastAsia="Times New Roman" w:cstheme="minorHAnsi"/>
          <w:bCs/>
          <w:iCs/>
          <w:color w:val="000000" w:themeColor="text1"/>
          <w:lang w:eastAsia="en-GB"/>
        </w:rPr>
      </w:pPr>
    </w:p>
    <w:p w:rsidR="00F74B1B" w:rsidRPr="00515B6A" w:rsidRDefault="00F74B1B" w:rsidP="00F74B1B">
      <w:pPr>
        <w:shd w:val="clear" w:color="auto" w:fill="FFFFFF"/>
        <w:spacing w:before="156" w:after="156" w:line="360" w:lineRule="atLeast"/>
        <w:rPr>
          <w:rFonts w:eastAsia="Times New Roman" w:cstheme="minorHAnsi"/>
          <w:bCs/>
          <w:iCs/>
          <w:color w:val="000000" w:themeColor="text1"/>
          <w:lang w:eastAsia="en-GB"/>
        </w:rPr>
      </w:pPr>
    </w:p>
    <w:p w:rsidR="00515B6A" w:rsidRPr="00515B6A" w:rsidRDefault="00515B6A" w:rsidP="00F74B1B">
      <w:pPr>
        <w:shd w:val="clear" w:color="auto" w:fill="FFFFFF"/>
        <w:spacing w:before="156" w:after="156" w:line="360" w:lineRule="atLeast"/>
        <w:rPr>
          <w:rFonts w:eastAsia="Times New Roman" w:cstheme="minorHAnsi"/>
          <w:bCs/>
          <w:iCs/>
          <w:color w:val="000000" w:themeColor="text1"/>
          <w:lang w:eastAsia="en-GB"/>
        </w:rPr>
      </w:pPr>
    </w:p>
    <w:p w:rsidR="00F74B1B" w:rsidRDefault="00F74B1B" w:rsidP="007219BB">
      <w:pPr>
        <w:shd w:val="clear" w:color="auto" w:fill="FFFFFF"/>
        <w:spacing w:before="156" w:after="156" w:line="360" w:lineRule="atLeast"/>
        <w:jc w:val="both"/>
        <w:rPr>
          <w:rFonts w:eastAsia="Times New Roman" w:cstheme="minorHAnsi"/>
          <w:bCs/>
          <w:iCs/>
          <w:color w:val="000000" w:themeColor="text1"/>
          <w:lang w:eastAsia="en-GB"/>
        </w:rPr>
      </w:pPr>
      <w:r w:rsidRPr="00515B6A">
        <w:rPr>
          <w:rFonts w:eastAsia="Times New Roman" w:cstheme="minorHAnsi"/>
          <w:bCs/>
          <w:iCs/>
          <w:color w:val="000000" w:themeColor="text1"/>
          <w:lang w:eastAsia="en-GB"/>
        </w:rPr>
        <w:t>T</w:t>
      </w:r>
      <w:r w:rsidR="00515B6A" w:rsidRPr="00515B6A">
        <w:rPr>
          <w:rFonts w:eastAsia="Times New Roman" w:cstheme="minorHAnsi"/>
          <w:bCs/>
          <w:iCs/>
          <w:color w:val="000000" w:themeColor="text1"/>
          <w:lang w:eastAsia="en-GB"/>
        </w:rPr>
        <w:t>his pack contains three research activities for you to prepare for your</w:t>
      </w:r>
      <w:r w:rsidRPr="00515B6A">
        <w:rPr>
          <w:rFonts w:eastAsia="Times New Roman" w:cstheme="minorHAnsi"/>
          <w:bCs/>
          <w:iCs/>
          <w:color w:val="000000" w:themeColor="text1"/>
          <w:lang w:eastAsia="en-GB"/>
        </w:rPr>
        <w:t xml:space="preserve"> Construction </w:t>
      </w:r>
      <w:r w:rsidR="00515B6A" w:rsidRPr="00515B6A">
        <w:rPr>
          <w:rFonts w:eastAsia="Times New Roman" w:cstheme="minorHAnsi"/>
          <w:bCs/>
          <w:iCs/>
          <w:color w:val="000000" w:themeColor="text1"/>
          <w:lang w:eastAsia="en-GB"/>
        </w:rPr>
        <w:t xml:space="preserve">qualification </w:t>
      </w:r>
      <w:r w:rsidRPr="00515B6A">
        <w:rPr>
          <w:rFonts w:eastAsia="Times New Roman" w:cstheme="minorHAnsi"/>
          <w:bCs/>
          <w:iCs/>
          <w:color w:val="000000" w:themeColor="text1"/>
          <w:lang w:eastAsia="en-GB"/>
        </w:rPr>
        <w:t xml:space="preserve">in September. It </w:t>
      </w:r>
      <w:proofErr w:type="gramStart"/>
      <w:r w:rsidRPr="00515B6A">
        <w:rPr>
          <w:rFonts w:eastAsia="Times New Roman" w:cstheme="minorHAnsi"/>
          <w:bCs/>
          <w:iCs/>
          <w:color w:val="000000" w:themeColor="text1"/>
          <w:lang w:eastAsia="en-GB"/>
        </w:rPr>
        <w:t>is aimed to be used</w:t>
      </w:r>
      <w:proofErr w:type="gramEnd"/>
      <w:r w:rsidRPr="00515B6A">
        <w:rPr>
          <w:rFonts w:eastAsia="Times New Roman" w:cstheme="minorHAnsi"/>
          <w:bCs/>
          <w:iCs/>
          <w:color w:val="000000" w:themeColor="text1"/>
          <w:lang w:eastAsia="en-GB"/>
        </w:rPr>
        <w:t xml:space="preserve"> after you complete your GCSE Level 2 First Award, throughout the remainder of the summer term and over the Summer Holidays to ensure you are ready to start your course in September.</w:t>
      </w:r>
      <w:r w:rsidR="00515B6A">
        <w:rPr>
          <w:rFonts w:eastAsia="Times New Roman" w:cstheme="minorHAnsi"/>
          <w:bCs/>
          <w:iCs/>
          <w:color w:val="000000" w:themeColor="text1"/>
          <w:lang w:eastAsia="en-GB"/>
        </w:rPr>
        <w:t xml:space="preserve"> The information provided in this pack is relevant to Unit 1 which after studying; you will undergo an internally assessed, controlled assignment. </w:t>
      </w:r>
    </w:p>
    <w:p w:rsidR="00515B6A" w:rsidRPr="00515B6A" w:rsidRDefault="00515B6A" w:rsidP="007219BB">
      <w:pPr>
        <w:shd w:val="clear" w:color="auto" w:fill="FFFFFF"/>
        <w:spacing w:before="156" w:after="156" w:line="360" w:lineRule="atLeast"/>
        <w:jc w:val="both"/>
        <w:rPr>
          <w:rFonts w:eastAsia="Times New Roman" w:cstheme="minorHAnsi"/>
          <w:bCs/>
          <w:iCs/>
          <w:color w:val="000000" w:themeColor="text1"/>
          <w:lang w:eastAsia="en-GB"/>
        </w:rPr>
      </w:pPr>
    </w:p>
    <w:p w:rsidR="00F74B1B" w:rsidRPr="00515B6A" w:rsidRDefault="00F74B1B" w:rsidP="00F74B1B">
      <w:pPr>
        <w:tabs>
          <w:tab w:val="left" w:pos="904"/>
        </w:tabs>
        <w:rPr>
          <w:rFonts w:cstheme="minorHAnsi"/>
          <w:b/>
        </w:rPr>
      </w:pPr>
      <w:r w:rsidRPr="00515B6A">
        <w:rPr>
          <w:rFonts w:cstheme="minorHAnsi"/>
          <w:b/>
        </w:rPr>
        <w:lastRenderedPageBreak/>
        <w:t>Overview</w:t>
      </w:r>
    </w:p>
    <w:p w:rsidR="00F74B1B" w:rsidRPr="00515B6A" w:rsidRDefault="00F74B1B" w:rsidP="00F74B1B">
      <w:pPr>
        <w:tabs>
          <w:tab w:val="left" w:pos="904"/>
        </w:tabs>
        <w:rPr>
          <w:rFonts w:cstheme="minorHAnsi"/>
          <w:b/>
        </w:rPr>
      </w:pPr>
      <w:r w:rsidRPr="00515B6A">
        <w:rPr>
          <w:rFonts w:cstheme="minorHAnsi"/>
          <w:b/>
        </w:rPr>
        <w:t xml:space="preserve">The construction sector is vital to any country for maintenance, improvement and growth of its infrastructure, buildings and engineering stock. A comprehension of institutional standards, procedures and business processes of the specialised disciplines that drive and administer the industry is relevant to all those who work or desire to be part of this established sector. </w:t>
      </w:r>
    </w:p>
    <w:p w:rsidR="00F74B1B" w:rsidRPr="00515B6A" w:rsidRDefault="00F74B1B" w:rsidP="00F74B1B">
      <w:pPr>
        <w:tabs>
          <w:tab w:val="left" w:pos="904"/>
        </w:tabs>
        <w:rPr>
          <w:rFonts w:cstheme="minorHAnsi"/>
          <w:b/>
        </w:rPr>
      </w:pPr>
    </w:p>
    <w:p w:rsidR="00F74B1B" w:rsidRPr="00515B6A" w:rsidRDefault="00F74B1B" w:rsidP="00F74B1B">
      <w:pPr>
        <w:tabs>
          <w:tab w:val="left" w:pos="904"/>
        </w:tabs>
        <w:rPr>
          <w:rFonts w:cstheme="minorHAnsi"/>
          <w:b/>
        </w:rPr>
      </w:pPr>
      <w:r w:rsidRPr="00515B6A">
        <w:rPr>
          <w:rFonts w:cstheme="minorHAnsi"/>
          <w:b/>
        </w:rPr>
        <w:t xml:space="preserve">Studying this qualification will encourage research, prompt investigation and analysis of the aspects and impacts of the construction disciplines and their interrelationships through collaboration. This will give rise to an understanding of the diverse roles within the construction industry and yield transferable skills. The qualification will support your progression from level 1/2 particularly in subjects such as Design Technology, Construction, Engineering and Business Studies. </w:t>
      </w:r>
    </w:p>
    <w:p w:rsidR="00BC3E45" w:rsidRPr="00515B6A" w:rsidRDefault="00BC3E45" w:rsidP="00F74B1B">
      <w:pPr>
        <w:tabs>
          <w:tab w:val="left" w:pos="904"/>
        </w:tabs>
        <w:rPr>
          <w:rFonts w:cstheme="minorHAnsi"/>
        </w:rPr>
      </w:pPr>
    </w:p>
    <w:p w:rsidR="00F74B1B" w:rsidRPr="00515B6A" w:rsidRDefault="00A9487E" w:rsidP="00F74B1B">
      <w:pPr>
        <w:tabs>
          <w:tab w:val="left" w:pos="904"/>
        </w:tabs>
        <w:rPr>
          <w:rFonts w:cstheme="minorHAnsi"/>
        </w:rPr>
      </w:pPr>
      <w:r w:rsidRPr="00515B6A">
        <w:rPr>
          <w:rFonts w:cstheme="minorHAnsi"/>
        </w:rPr>
        <w:t xml:space="preserve">Research questions. </w:t>
      </w:r>
    </w:p>
    <w:p w:rsidR="006648AB" w:rsidRDefault="00F74B1B" w:rsidP="00F74B1B">
      <w:pPr>
        <w:pStyle w:val="ListParagraph"/>
        <w:numPr>
          <w:ilvl w:val="0"/>
          <w:numId w:val="2"/>
        </w:numPr>
        <w:tabs>
          <w:tab w:val="left" w:pos="904"/>
        </w:tabs>
        <w:rPr>
          <w:rFonts w:cstheme="minorHAnsi"/>
        </w:rPr>
      </w:pPr>
      <w:r w:rsidRPr="006648AB">
        <w:rPr>
          <w:rFonts w:cstheme="minorHAnsi"/>
        </w:rPr>
        <w:t xml:space="preserve">The built environment </w:t>
      </w:r>
      <w:proofErr w:type="gramStart"/>
      <w:r w:rsidRPr="006648AB">
        <w:rPr>
          <w:rFonts w:cstheme="minorHAnsi"/>
        </w:rPr>
        <w:t>is made up</w:t>
      </w:r>
      <w:proofErr w:type="gramEnd"/>
      <w:r w:rsidRPr="006648AB">
        <w:rPr>
          <w:rFonts w:cstheme="minorHAnsi"/>
        </w:rPr>
        <w:t xml:space="preserve"> of historic and contemporary buildings, the spaces between them including parks, streets, other open areas and the infrastructure that links these components together. The design of each building within this environment is a complex process that involves many people working through many stages. Good design will provide a built environment that promotes health, safety and well-being.</w:t>
      </w:r>
    </w:p>
    <w:p w:rsidR="00F74B1B" w:rsidRPr="00263B90" w:rsidRDefault="00F74B1B" w:rsidP="00263B90">
      <w:pPr>
        <w:tabs>
          <w:tab w:val="left" w:pos="904"/>
        </w:tabs>
        <w:rPr>
          <w:rFonts w:cstheme="minorHAnsi"/>
        </w:rPr>
      </w:pPr>
      <w:r w:rsidRPr="00263B90">
        <w:rPr>
          <w:rFonts w:cstheme="minorHAnsi"/>
        </w:rPr>
        <w:t xml:space="preserve">Research areas locally that have undergone transformation or development. What is significant about the changes it has brought to the </w:t>
      </w:r>
      <w:r w:rsidR="00A9487E" w:rsidRPr="00263B90">
        <w:rPr>
          <w:rFonts w:cstheme="minorHAnsi"/>
        </w:rPr>
        <w:t>area?</w:t>
      </w:r>
      <w:r w:rsidRPr="00263B90">
        <w:rPr>
          <w:rFonts w:cstheme="minorHAnsi"/>
        </w:rPr>
        <w:t xml:space="preserve"> </w:t>
      </w:r>
    </w:p>
    <w:p w:rsidR="00A9487E" w:rsidRPr="00515B6A" w:rsidRDefault="00A9487E" w:rsidP="00F74B1B">
      <w:pPr>
        <w:tabs>
          <w:tab w:val="left" w:pos="904"/>
        </w:tabs>
        <w:rPr>
          <w:rFonts w:cstheme="minorHAnsi"/>
        </w:rPr>
      </w:pPr>
      <w:r w:rsidRPr="00515B6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87E" w:rsidRPr="006648AB" w:rsidRDefault="00A9487E" w:rsidP="006648AB">
      <w:pPr>
        <w:pStyle w:val="ListParagraph"/>
        <w:numPr>
          <w:ilvl w:val="0"/>
          <w:numId w:val="2"/>
        </w:numPr>
        <w:tabs>
          <w:tab w:val="left" w:pos="904"/>
        </w:tabs>
        <w:rPr>
          <w:rFonts w:cstheme="minorHAnsi"/>
        </w:rPr>
      </w:pPr>
      <w:r w:rsidRPr="006648AB">
        <w:rPr>
          <w:rFonts w:cstheme="minorHAnsi"/>
        </w:rPr>
        <w:t xml:space="preserve">To provide and protect the quality of the built environment it is vital to ensure that the right development happens in the right place at the right time, to the benefit of communities and the economy. A complex system for the control of development </w:t>
      </w:r>
      <w:proofErr w:type="gramStart"/>
      <w:r w:rsidRPr="006648AB">
        <w:rPr>
          <w:rFonts w:cstheme="minorHAnsi"/>
        </w:rPr>
        <w:t>has been created</w:t>
      </w:r>
      <w:proofErr w:type="gramEnd"/>
      <w:r w:rsidRPr="006648AB">
        <w:rPr>
          <w:rFonts w:cstheme="minorHAnsi"/>
        </w:rPr>
        <w:t xml:space="preserve"> involving strategic planning at national and local levels and many other social, political and economic factors. This system must agree, on behalf of the community, to a development proposal before it can take place.</w:t>
      </w:r>
    </w:p>
    <w:p w:rsidR="00FB4AA2" w:rsidRPr="00515B6A" w:rsidRDefault="00624C0E" w:rsidP="00F74B1B">
      <w:pPr>
        <w:tabs>
          <w:tab w:val="left" w:pos="904"/>
        </w:tabs>
        <w:rPr>
          <w:rFonts w:cstheme="minorHAnsi"/>
          <w:b/>
        </w:rPr>
      </w:pPr>
      <w:r w:rsidRPr="00515B6A">
        <w:rPr>
          <w:rFonts w:cstheme="minorHAnsi"/>
          <w:b/>
        </w:rPr>
        <w:t>Achieving planning permission requires</w:t>
      </w:r>
      <w:r w:rsidR="00FB4AA2" w:rsidRPr="00515B6A">
        <w:rPr>
          <w:rFonts w:cstheme="minorHAnsi"/>
          <w:b/>
        </w:rPr>
        <w:t>:</w:t>
      </w:r>
      <w:r w:rsidRPr="00515B6A">
        <w:rPr>
          <w:rFonts w:cstheme="minorHAnsi"/>
          <w:b/>
        </w:rPr>
        <w:t xml:space="preserve"> </w:t>
      </w:r>
    </w:p>
    <w:p w:rsidR="00FB4AA2" w:rsidRPr="00515B6A" w:rsidRDefault="00FB4AA2" w:rsidP="00FB4AA2">
      <w:pPr>
        <w:pStyle w:val="NoSpacing"/>
        <w:numPr>
          <w:ilvl w:val="0"/>
          <w:numId w:val="1"/>
        </w:numPr>
        <w:rPr>
          <w:rFonts w:cstheme="minorHAnsi"/>
        </w:rPr>
      </w:pPr>
      <w:r w:rsidRPr="00515B6A">
        <w:rPr>
          <w:rFonts w:cstheme="minorHAnsi"/>
        </w:rPr>
        <w:t>I</w:t>
      </w:r>
      <w:r w:rsidR="00624C0E" w:rsidRPr="00515B6A">
        <w:rPr>
          <w:rFonts w:cstheme="minorHAnsi"/>
        </w:rPr>
        <w:t>nterpreting local planning requirements and developing a strategy to achieve</w:t>
      </w:r>
      <w:r w:rsidRPr="00515B6A">
        <w:rPr>
          <w:rFonts w:cstheme="minorHAnsi"/>
        </w:rPr>
        <w:t xml:space="preserve"> an acceptable design solution.</w:t>
      </w:r>
    </w:p>
    <w:p w:rsidR="00FB4AA2" w:rsidRPr="00515B6A" w:rsidRDefault="00624C0E" w:rsidP="00FB4AA2">
      <w:pPr>
        <w:pStyle w:val="NoSpacing"/>
        <w:numPr>
          <w:ilvl w:val="0"/>
          <w:numId w:val="1"/>
        </w:numPr>
        <w:rPr>
          <w:rFonts w:cstheme="minorHAnsi"/>
        </w:rPr>
      </w:pPr>
      <w:r w:rsidRPr="00515B6A">
        <w:rPr>
          <w:rFonts w:cstheme="minorHAnsi"/>
        </w:rPr>
        <w:t xml:space="preserve">Identifying appropriate treatments of the design solution. </w:t>
      </w:r>
    </w:p>
    <w:p w:rsidR="00FB4AA2" w:rsidRPr="00515B6A" w:rsidRDefault="00624C0E" w:rsidP="00FB4AA2">
      <w:pPr>
        <w:pStyle w:val="NoSpacing"/>
        <w:numPr>
          <w:ilvl w:val="0"/>
          <w:numId w:val="1"/>
        </w:numPr>
        <w:rPr>
          <w:rFonts w:cstheme="minorHAnsi"/>
        </w:rPr>
      </w:pPr>
      <w:r w:rsidRPr="00515B6A">
        <w:rPr>
          <w:rFonts w:cstheme="minorHAnsi"/>
        </w:rPr>
        <w:t>Identifying possible contribut</w:t>
      </w:r>
      <w:r w:rsidR="00FB4AA2" w:rsidRPr="00515B6A">
        <w:rPr>
          <w:rFonts w:cstheme="minorHAnsi"/>
        </w:rPr>
        <w:t xml:space="preserve">ions and community benefits </w:t>
      </w:r>
    </w:p>
    <w:p w:rsidR="00FB4AA2" w:rsidRPr="00515B6A" w:rsidRDefault="00FB4AA2" w:rsidP="00FB4AA2">
      <w:pPr>
        <w:pStyle w:val="NoSpacing"/>
        <w:numPr>
          <w:ilvl w:val="0"/>
          <w:numId w:val="1"/>
        </w:numPr>
        <w:rPr>
          <w:rFonts w:cstheme="minorHAnsi"/>
        </w:rPr>
      </w:pPr>
      <w:r w:rsidRPr="00515B6A">
        <w:rPr>
          <w:rFonts w:cstheme="minorHAnsi"/>
        </w:rPr>
        <w:t>C</w:t>
      </w:r>
      <w:r w:rsidR="00624C0E" w:rsidRPr="00515B6A">
        <w:rPr>
          <w:rFonts w:cstheme="minorHAnsi"/>
        </w:rPr>
        <w:t xml:space="preserve">onsider possible planning obligations. </w:t>
      </w:r>
    </w:p>
    <w:p w:rsidR="00FB4AA2" w:rsidRPr="00515B6A" w:rsidRDefault="00FB4AA2" w:rsidP="00FB4AA2">
      <w:pPr>
        <w:pStyle w:val="NoSpacing"/>
        <w:rPr>
          <w:rFonts w:cstheme="minorHAnsi"/>
        </w:rPr>
      </w:pPr>
    </w:p>
    <w:p w:rsidR="00FB4AA2" w:rsidRPr="006648AB" w:rsidRDefault="001E4889" w:rsidP="00263B90">
      <w:pPr>
        <w:tabs>
          <w:tab w:val="left" w:pos="904"/>
        </w:tabs>
        <w:rPr>
          <w:rFonts w:cstheme="minorHAnsi"/>
        </w:rPr>
      </w:pPr>
      <w:r w:rsidRPr="006648AB">
        <w:rPr>
          <w:rFonts w:cstheme="minorHAnsi"/>
        </w:rPr>
        <w:t xml:space="preserve">Research planning requirements within a local development plan and evaluate factors that will affect </w:t>
      </w:r>
      <w:r w:rsidR="00FB4AA2" w:rsidRPr="006648AB">
        <w:rPr>
          <w:rFonts w:cstheme="minorHAnsi"/>
        </w:rPr>
        <w:t xml:space="preserve">the </w:t>
      </w:r>
      <w:r w:rsidRPr="006648AB">
        <w:rPr>
          <w:rFonts w:cstheme="minorHAnsi"/>
        </w:rPr>
        <w:t>planning decisions</w:t>
      </w:r>
      <w:r w:rsidR="00FB4AA2" w:rsidRPr="006648AB">
        <w:rPr>
          <w:rFonts w:cstheme="minorHAnsi"/>
        </w:rPr>
        <w:t xml:space="preserve"> for different development projects. A useful link </w:t>
      </w:r>
      <w:proofErr w:type="gramStart"/>
      <w:r w:rsidR="00FB4AA2" w:rsidRPr="006648AB">
        <w:rPr>
          <w:rFonts w:cstheme="minorHAnsi"/>
        </w:rPr>
        <w:t>is provided</w:t>
      </w:r>
      <w:proofErr w:type="gramEnd"/>
      <w:r w:rsidR="00FB4AA2" w:rsidRPr="006648AB">
        <w:rPr>
          <w:rFonts w:cstheme="minorHAnsi"/>
        </w:rPr>
        <w:t xml:space="preserve"> below; pay particular attention to sub-section 4.1. </w:t>
      </w:r>
    </w:p>
    <w:p w:rsidR="001E4889" w:rsidRPr="00515B6A" w:rsidRDefault="007767EF" w:rsidP="00F74B1B">
      <w:pPr>
        <w:tabs>
          <w:tab w:val="left" w:pos="904"/>
        </w:tabs>
        <w:rPr>
          <w:rFonts w:cstheme="minorHAnsi"/>
        </w:rPr>
      </w:pPr>
      <w:hyperlink r:id="rId7" w:history="1">
        <w:r w:rsidR="001E4889" w:rsidRPr="00515B6A">
          <w:rPr>
            <w:rStyle w:val="Hyperlink"/>
            <w:rFonts w:cstheme="minorHAnsi"/>
          </w:rPr>
          <w:t>http://services.swale.gov.uk/media/files/localplan/adoptedlocalplanfinalwebversion.pdf</w:t>
        </w:r>
      </w:hyperlink>
      <w:r w:rsidR="00FB4AA2" w:rsidRPr="00515B6A">
        <w:rPr>
          <w:rFonts w:cstheme="minorHAnsi"/>
        </w:rPr>
        <w:t xml:space="preserve"> </w:t>
      </w:r>
    </w:p>
    <w:p w:rsidR="00FB4AA2" w:rsidRPr="00515B6A" w:rsidRDefault="00A9487E" w:rsidP="00FB4AA2">
      <w:pPr>
        <w:tabs>
          <w:tab w:val="left" w:pos="904"/>
        </w:tabs>
        <w:rPr>
          <w:rFonts w:cstheme="minorHAnsi"/>
        </w:rPr>
      </w:pPr>
      <w:r w:rsidRPr="00515B6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4AA2" w:rsidRPr="00515B6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AA2" w:rsidRPr="006648AB" w:rsidRDefault="00992BA3" w:rsidP="006648AB">
      <w:pPr>
        <w:pStyle w:val="ListParagraph"/>
        <w:numPr>
          <w:ilvl w:val="0"/>
          <w:numId w:val="2"/>
        </w:numPr>
        <w:tabs>
          <w:tab w:val="left" w:pos="904"/>
        </w:tabs>
        <w:rPr>
          <w:rFonts w:cstheme="minorHAnsi"/>
        </w:rPr>
      </w:pPr>
      <w:r w:rsidRPr="006648AB">
        <w:rPr>
          <w:rFonts w:cstheme="minorHAnsi"/>
        </w:rPr>
        <w:t xml:space="preserve">The design of the buildings that shape our environments </w:t>
      </w:r>
      <w:proofErr w:type="gramStart"/>
      <w:r w:rsidRPr="006648AB">
        <w:rPr>
          <w:rFonts w:cstheme="minorHAnsi"/>
        </w:rPr>
        <w:t>must be influenced</w:t>
      </w:r>
      <w:proofErr w:type="gramEnd"/>
      <w:r w:rsidRPr="006648AB">
        <w:rPr>
          <w:rFonts w:cstheme="minorHAnsi"/>
        </w:rPr>
        <w:t xml:space="preserve"> by many factors to promote the safety, health, comfort and productivity of occupants. These designs </w:t>
      </w:r>
      <w:proofErr w:type="gramStart"/>
      <w:r w:rsidRPr="006648AB">
        <w:rPr>
          <w:rFonts w:cstheme="minorHAnsi"/>
        </w:rPr>
        <w:t>must be developed</w:t>
      </w:r>
      <w:proofErr w:type="gramEnd"/>
      <w:r w:rsidRPr="006648AB">
        <w:rPr>
          <w:rFonts w:cstheme="minorHAnsi"/>
        </w:rPr>
        <w:t xml:space="preserve"> to minimise the risk of harm to those who have to build, use and maintain the building and ensure that the possibilities for reducing environmental impact and running costs of the building over its lifetime are maximised.</w:t>
      </w:r>
    </w:p>
    <w:p w:rsidR="00FB4AA2" w:rsidRPr="00515B6A" w:rsidRDefault="00992BA3" w:rsidP="00992BA3">
      <w:pPr>
        <w:tabs>
          <w:tab w:val="left" w:pos="904"/>
        </w:tabs>
        <w:rPr>
          <w:rFonts w:cstheme="minorHAnsi"/>
        </w:rPr>
      </w:pPr>
      <w:r w:rsidRPr="00515B6A">
        <w:rPr>
          <w:rFonts w:cstheme="minorHAnsi"/>
        </w:rPr>
        <w:t>Report on measures put forward to enhance environmental efficiency during the concept design stage of a specific development proposal.</w:t>
      </w:r>
      <w:r w:rsidR="00BA4E9C" w:rsidRPr="00515B6A">
        <w:rPr>
          <w:rFonts w:cstheme="minorHAnsi"/>
        </w:rPr>
        <w:t xml:space="preserve"> You can choose any example of a low-rise construction project to make your report. </w:t>
      </w:r>
    </w:p>
    <w:p w:rsidR="00992BA3" w:rsidRPr="00515B6A" w:rsidRDefault="00BC0B84" w:rsidP="00992BA3">
      <w:pPr>
        <w:tabs>
          <w:tab w:val="left" w:pos="904"/>
        </w:tabs>
        <w:rPr>
          <w:rFonts w:cstheme="minorHAnsi"/>
        </w:rPr>
      </w:pPr>
      <w:r w:rsidRPr="00515B6A">
        <w:rPr>
          <w:rFonts w:cstheme="minorHAnsi"/>
        </w:rPr>
        <w:t>Environmental impa</w:t>
      </w:r>
      <w:r w:rsidR="00BA4E9C" w:rsidRPr="00515B6A">
        <w:rPr>
          <w:rFonts w:cstheme="minorHAnsi"/>
        </w:rPr>
        <w:t xml:space="preserve">ct (BREEAM) </w:t>
      </w:r>
      <w:hyperlink r:id="rId8" w:history="1">
        <w:r w:rsidR="00BA4E9C" w:rsidRPr="00515B6A">
          <w:rPr>
            <w:rStyle w:val="Hyperlink"/>
            <w:rFonts w:cstheme="minorHAnsi"/>
          </w:rPr>
          <w:t>https://www.bregroup.com/expertise/sustainability/</w:t>
        </w:r>
      </w:hyperlink>
      <w:r w:rsidR="00BA4E9C" w:rsidRPr="00515B6A">
        <w:rPr>
          <w:rFonts w:cstheme="minorHAnsi"/>
        </w:rPr>
        <w:t xml:space="preserve"> </w:t>
      </w:r>
    </w:p>
    <w:p w:rsidR="00A9487E" w:rsidRDefault="00BA4E9C" w:rsidP="00F74B1B">
      <w:pPr>
        <w:tabs>
          <w:tab w:val="left" w:pos="904"/>
        </w:tabs>
        <w:rPr>
          <w:rFonts w:cstheme="minorHAnsi"/>
        </w:rPr>
      </w:pPr>
      <w:r w:rsidRPr="00515B6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348" w:rsidRDefault="00C03348" w:rsidP="00F74B1B">
      <w:pPr>
        <w:tabs>
          <w:tab w:val="left" w:pos="904"/>
        </w:tabs>
        <w:rPr>
          <w:rFonts w:cstheme="minorHAnsi"/>
        </w:rPr>
      </w:pPr>
      <w:r w:rsidRPr="00C03348">
        <w:rPr>
          <w:rFonts w:cstheme="minorHAnsi"/>
        </w:rPr>
        <w:t>The WJEC Level 3 Applied Diploma in Professional Constr</w:t>
      </w:r>
      <w:r>
        <w:rPr>
          <w:rFonts w:cstheme="minorHAnsi"/>
        </w:rPr>
        <w:t>uction Practice enables you</w:t>
      </w:r>
      <w:r w:rsidRPr="00C03348">
        <w:rPr>
          <w:rFonts w:cstheme="minorHAnsi"/>
        </w:rPr>
        <w:t xml:space="preserve"> to gain essential employability skills that are valued by employers, further education and higher education including: </w:t>
      </w:r>
    </w:p>
    <w:p w:rsidR="00C03348" w:rsidRDefault="00C03348" w:rsidP="00F74B1B">
      <w:pPr>
        <w:tabs>
          <w:tab w:val="left" w:pos="904"/>
        </w:tabs>
        <w:rPr>
          <w:rFonts w:cstheme="minorHAnsi"/>
        </w:rPr>
      </w:pPr>
      <w:r w:rsidRPr="00C03348">
        <w:rPr>
          <w:rFonts w:cstheme="minorHAnsi"/>
        </w:rPr>
        <w:t xml:space="preserve">• </w:t>
      </w:r>
      <w:proofErr w:type="gramStart"/>
      <w:r w:rsidRPr="00C03348">
        <w:rPr>
          <w:rFonts w:cstheme="minorHAnsi"/>
        </w:rPr>
        <w:t>literacy</w:t>
      </w:r>
      <w:proofErr w:type="gramEnd"/>
      <w:r w:rsidRPr="00C03348">
        <w:rPr>
          <w:rFonts w:cstheme="minorHAnsi"/>
        </w:rPr>
        <w:t xml:space="preserve"> and numeracy </w:t>
      </w:r>
    </w:p>
    <w:p w:rsidR="00C03348" w:rsidRDefault="00C03348" w:rsidP="00F74B1B">
      <w:pPr>
        <w:tabs>
          <w:tab w:val="left" w:pos="904"/>
        </w:tabs>
        <w:rPr>
          <w:rFonts w:cstheme="minorHAnsi"/>
        </w:rPr>
      </w:pPr>
      <w:r w:rsidRPr="00C03348">
        <w:rPr>
          <w:rFonts w:cstheme="minorHAnsi"/>
        </w:rPr>
        <w:t xml:space="preserve">• </w:t>
      </w:r>
      <w:proofErr w:type="gramStart"/>
      <w:r w:rsidRPr="00C03348">
        <w:rPr>
          <w:rFonts w:cstheme="minorHAnsi"/>
        </w:rPr>
        <w:t>digital</w:t>
      </w:r>
      <w:proofErr w:type="gramEnd"/>
      <w:r w:rsidRPr="00C03348">
        <w:rPr>
          <w:rFonts w:cstheme="minorHAnsi"/>
        </w:rPr>
        <w:t xml:space="preserve"> literacy </w:t>
      </w:r>
    </w:p>
    <w:p w:rsidR="00C03348" w:rsidRDefault="00C03348" w:rsidP="00F74B1B">
      <w:pPr>
        <w:tabs>
          <w:tab w:val="left" w:pos="904"/>
        </w:tabs>
        <w:rPr>
          <w:rFonts w:cstheme="minorHAnsi"/>
        </w:rPr>
      </w:pPr>
      <w:r w:rsidRPr="00C03348">
        <w:rPr>
          <w:rFonts w:cstheme="minorHAnsi"/>
        </w:rPr>
        <w:t xml:space="preserve">• </w:t>
      </w:r>
      <w:proofErr w:type="gramStart"/>
      <w:r w:rsidRPr="00C03348">
        <w:rPr>
          <w:rFonts w:cstheme="minorHAnsi"/>
        </w:rPr>
        <w:t>critical</w:t>
      </w:r>
      <w:proofErr w:type="gramEnd"/>
      <w:r w:rsidRPr="00C03348">
        <w:rPr>
          <w:rFonts w:cstheme="minorHAnsi"/>
        </w:rPr>
        <w:t xml:space="preserve"> thinking and problem solving  </w:t>
      </w:r>
    </w:p>
    <w:p w:rsidR="00C03348" w:rsidRDefault="00C03348" w:rsidP="00F74B1B">
      <w:pPr>
        <w:tabs>
          <w:tab w:val="left" w:pos="904"/>
        </w:tabs>
        <w:rPr>
          <w:rFonts w:cstheme="minorHAnsi"/>
        </w:rPr>
      </w:pPr>
      <w:r w:rsidRPr="00C03348">
        <w:rPr>
          <w:rFonts w:cstheme="minorHAnsi"/>
        </w:rPr>
        <w:t xml:space="preserve">• </w:t>
      </w:r>
      <w:proofErr w:type="gramStart"/>
      <w:r w:rsidRPr="00C03348">
        <w:rPr>
          <w:rFonts w:cstheme="minorHAnsi"/>
        </w:rPr>
        <w:t>planning</w:t>
      </w:r>
      <w:proofErr w:type="gramEnd"/>
      <w:r w:rsidRPr="00C03348">
        <w:rPr>
          <w:rFonts w:cstheme="minorHAnsi"/>
        </w:rPr>
        <w:t xml:space="preserve"> and organisation </w:t>
      </w:r>
    </w:p>
    <w:p w:rsidR="00C03348" w:rsidRDefault="00C03348" w:rsidP="00F74B1B">
      <w:pPr>
        <w:tabs>
          <w:tab w:val="left" w:pos="904"/>
        </w:tabs>
        <w:rPr>
          <w:rFonts w:cstheme="minorHAnsi"/>
        </w:rPr>
      </w:pPr>
      <w:r w:rsidRPr="00C03348">
        <w:rPr>
          <w:rFonts w:cstheme="minorHAnsi"/>
        </w:rPr>
        <w:t xml:space="preserve">• </w:t>
      </w:r>
      <w:proofErr w:type="gramStart"/>
      <w:r w:rsidRPr="00C03348">
        <w:rPr>
          <w:rFonts w:cstheme="minorHAnsi"/>
        </w:rPr>
        <w:t>creativity</w:t>
      </w:r>
      <w:proofErr w:type="gramEnd"/>
      <w:r w:rsidRPr="00C03348">
        <w:rPr>
          <w:rFonts w:cstheme="minorHAnsi"/>
        </w:rPr>
        <w:t xml:space="preserve"> and innovation </w:t>
      </w:r>
    </w:p>
    <w:p w:rsidR="00C03348" w:rsidRDefault="00C03348" w:rsidP="00F74B1B">
      <w:pPr>
        <w:tabs>
          <w:tab w:val="left" w:pos="904"/>
        </w:tabs>
        <w:rPr>
          <w:rFonts w:cstheme="minorHAnsi"/>
        </w:rPr>
      </w:pPr>
      <w:r w:rsidRPr="00C03348">
        <w:rPr>
          <w:rFonts w:cstheme="minorHAnsi"/>
        </w:rPr>
        <w:t xml:space="preserve">• </w:t>
      </w:r>
      <w:proofErr w:type="gramStart"/>
      <w:r w:rsidRPr="00C03348">
        <w:rPr>
          <w:rFonts w:cstheme="minorHAnsi"/>
        </w:rPr>
        <w:t>personal</w:t>
      </w:r>
      <w:proofErr w:type="gramEnd"/>
      <w:r w:rsidRPr="00C03348">
        <w:rPr>
          <w:rFonts w:cstheme="minorHAnsi"/>
        </w:rPr>
        <w:t xml:space="preserve"> effectiveness.</w:t>
      </w:r>
    </w:p>
    <w:p w:rsidR="00C03348" w:rsidRDefault="00C03348" w:rsidP="00F74B1B">
      <w:pPr>
        <w:tabs>
          <w:tab w:val="left" w:pos="904"/>
        </w:tabs>
        <w:rPr>
          <w:rFonts w:cstheme="minorHAnsi"/>
        </w:rPr>
      </w:pPr>
      <w:r>
        <w:rPr>
          <w:rFonts w:cstheme="minorHAnsi"/>
        </w:rPr>
        <w:t xml:space="preserve">Think about the subjects you have studied over the past three years. Have you already demonstrated these skills in other subjects? Give examples of where you feel you have developed these skills. </w:t>
      </w:r>
    </w:p>
    <w:p w:rsidR="00C03348" w:rsidRPr="00515B6A" w:rsidRDefault="00C03348" w:rsidP="00C03348">
      <w:pPr>
        <w:tabs>
          <w:tab w:val="left" w:pos="904"/>
        </w:tabs>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348" w:rsidRPr="007767EF" w:rsidRDefault="00C03348" w:rsidP="00C03348">
      <w:pPr>
        <w:tabs>
          <w:tab w:val="left" w:pos="904"/>
        </w:tabs>
        <w:rPr>
          <w:rFonts w:cstheme="minorHAnsi"/>
          <w:b/>
        </w:rPr>
      </w:pPr>
      <w:r w:rsidRPr="007767EF">
        <w:rPr>
          <w:rFonts w:cstheme="minorHAnsi"/>
          <w:b/>
        </w:rPr>
        <w:t xml:space="preserve">Key information about the qualification. </w:t>
      </w:r>
    </w:p>
    <w:p w:rsidR="00C03348" w:rsidRPr="00C03348" w:rsidRDefault="00C03348" w:rsidP="00C03348">
      <w:pPr>
        <w:tabs>
          <w:tab w:val="left" w:pos="904"/>
        </w:tabs>
        <w:rPr>
          <w:rFonts w:cstheme="minorHAnsi"/>
        </w:rPr>
      </w:pPr>
      <w:r w:rsidRPr="00C03348">
        <w:rPr>
          <w:rFonts w:cstheme="minorHAnsi"/>
        </w:rPr>
        <w:t xml:space="preserve">The WJEC Level 3 Applied Diploma in Professional Construction Practice is made up of </w:t>
      </w:r>
      <w:proofErr w:type="gramStart"/>
      <w:r w:rsidRPr="00C03348">
        <w:rPr>
          <w:rFonts w:cstheme="minorHAnsi"/>
        </w:rPr>
        <w:t>4</w:t>
      </w:r>
      <w:proofErr w:type="gramEnd"/>
      <w:r w:rsidRPr="00C03348">
        <w:rPr>
          <w:rFonts w:cstheme="minorHAnsi"/>
        </w:rPr>
        <w:t xml:space="preserve"> un</w:t>
      </w:r>
      <w:r w:rsidR="007767EF">
        <w:rPr>
          <w:rFonts w:cstheme="minorHAnsi"/>
        </w:rPr>
        <w:t xml:space="preserve">its.  All units are mandatory. </w:t>
      </w:r>
    </w:p>
    <w:p w:rsidR="00C03348" w:rsidRPr="00C03348" w:rsidRDefault="00C03348" w:rsidP="00C03348">
      <w:pPr>
        <w:tabs>
          <w:tab w:val="left" w:pos="904"/>
        </w:tabs>
        <w:rPr>
          <w:rFonts w:cstheme="minorHAnsi"/>
          <w:b/>
        </w:rPr>
      </w:pPr>
      <w:r w:rsidRPr="00C03348">
        <w:rPr>
          <w:rFonts w:cstheme="minorHAnsi"/>
          <w:b/>
        </w:rPr>
        <w:t xml:space="preserve">Unit number  </w:t>
      </w:r>
      <w:r w:rsidRPr="00C03348">
        <w:rPr>
          <w:rFonts w:cstheme="minorHAnsi"/>
          <w:b/>
        </w:rPr>
        <w:tab/>
      </w:r>
      <w:r w:rsidRPr="00C03348">
        <w:rPr>
          <w:rFonts w:cstheme="minorHAnsi"/>
          <w:b/>
        </w:rPr>
        <w:t>Unit</w:t>
      </w:r>
      <w:r w:rsidRPr="00C03348">
        <w:rPr>
          <w:rFonts w:cstheme="minorHAnsi"/>
          <w:b/>
        </w:rPr>
        <w:tab/>
      </w:r>
      <w:r w:rsidRPr="00C03348">
        <w:rPr>
          <w:rFonts w:cstheme="minorHAnsi"/>
          <w:b/>
        </w:rPr>
        <w:tab/>
      </w:r>
      <w:r w:rsidRPr="00C03348">
        <w:rPr>
          <w:rFonts w:cstheme="minorHAnsi"/>
          <w:b/>
        </w:rPr>
        <w:tab/>
      </w:r>
      <w:r w:rsidRPr="00C03348">
        <w:rPr>
          <w:rFonts w:cstheme="minorHAnsi"/>
          <w:b/>
        </w:rPr>
        <w:t xml:space="preserve"> </w:t>
      </w:r>
      <w:r w:rsidRPr="00C03348">
        <w:rPr>
          <w:rFonts w:cstheme="minorHAnsi"/>
          <w:b/>
        </w:rPr>
        <w:tab/>
      </w:r>
      <w:r w:rsidRPr="00C03348">
        <w:rPr>
          <w:rFonts w:cstheme="minorHAnsi"/>
          <w:b/>
        </w:rPr>
        <w:tab/>
      </w:r>
      <w:r w:rsidRPr="00C03348">
        <w:rPr>
          <w:rFonts w:cstheme="minorHAnsi"/>
          <w:b/>
        </w:rPr>
        <w:t xml:space="preserve">Assessment </w:t>
      </w:r>
      <w:r w:rsidRPr="00C03348">
        <w:rPr>
          <w:rFonts w:cstheme="minorHAnsi"/>
          <w:b/>
        </w:rPr>
        <w:tab/>
      </w:r>
      <w:r w:rsidRPr="00C03348">
        <w:rPr>
          <w:rFonts w:cstheme="minorHAnsi"/>
          <w:b/>
        </w:rPr>
        <w:tab/>
      </w:r>
      <w:r w:rsidRPr="00C03348">
        <w:rPr>
          <w:rFonts w:cstheme="minorHAnsi"/>
          <w:b/>
        </w:rPr>
        <w:tab/>
      </w:r>
      <w:r w:rsidRPr="00C03348">
        <w:rPr>
          <w:rFonts w:cstheme="minorHAnsi"/>
          <w:b/>
        </w:rPr>
        <w:tab/>
      </w:r>
      <w:r w:rsidRPr="00C03348">
        <w:rPr>
          <w:rFonts w:cstheme="minorHAnsi"/>
          <w:b/>
        </w:rPr>
        <w:tab/>
      </w:r>
      <w:r w:rsidRPr="00C03348">
        <w:rPr>
          <w:rFonts w:cstheme="minorHAnsi"/>
          <w:b/>
        </w:rPr>
        <w:t xml:space="preserve">GLH </w:t>
      </w:r>
      <w:r w:rsidRPr="00C03348">
        <w:rPr>
          <w:rFonts w:cstheme="minorHAnsi"/>
          <w:b/>
        </w:rPr>
        <w:tab/>
      </w:r>
      <w:r w:rsidRPr="00C03348">
        <w:rPr>
          <w:rFonts w:cstheme="minorHAnsi"/>
          <w:b/>
        </w:rPr>
        <w:t xml:space="preserve">% </w:t>
      </w:r>
    </w:p>
    <w:p w:rsidR="00C03348" w:rsidRPr="00C03348" w:rsidRDefault="00C03348" w:rsidP="00C03348">
      <w:pPr>
        <w:tabs>
          <w:tab w:val="left" w:pos="904"/>
        </w:tabs>
        <w:rPr>
          <w:rFonts w:cstheme="minorHAnsi"/>
        </w:rPr>
      </w:pPr>
      <w:r w:rsidRPr="00C03348">
        <w:rPr>
          <w:rFonts w:cstheme="minorHAnsi"/>
        </w:rPr>
        <w:t xml:space="preserve">1 </w:t>
      </w:r>
      <w:r>
        <w:rPr>
          <w:rFonts w:cstheme="minorHAnsi"/>
        </w:rPr>
        <w:tab/>
      </w:r>
      <w:r>
        <w:rPr>
          <w:rFonts w:cstheme="minorHAnsi"/>
        </w:rPr>
        <w:tab/>
        <w:t xml:space="preserve">Design the Built Environment </w:t>
      </w:r>
      <w:r>
        <w:rPr>
          <w:rFonts w:cstheme="minorHAnsi"/>
        </w:rPr>
        <w:tab/>
      </w:r>
      <w:r>
        <w:rPr>
          <w:rFonts w:cstheme="minorHAnsi"/>
        </w:rPr>
        <w:tab/>
      </w:r>
      <w:r w:rsidRPr="00C03348">
        <w:rPr>
          <w:rFonts w:cstheme="minorHAnsi"/>
        </w:rPr>
        <w:t xml:space="preserve">Internally </w:t>
      </w:r>
      <w:r>
        <w:rPr>
          <w:rFonts w:cstheme="minorHAnsi"/>
        </w:rPr>
        <w:t xml:space="preserve">Assessed Controlled Assignment  </w:t>
      </w:r>
      <w:r>
        <w:rPr>
          <w:rFonts w:cstheme="minorHAnsi"/>
        </w:rPr>
        <w:tab/>
      </w:r>
      <w:r w:rsidRPr="00C03348">
        <w:rPr>
          <w:rFonts w:cstheme="minorHAnsi"/>
        </w:rPr>
        <w:t>72 GLH</w:t>
      </w:r>
      <w:r>
        <w:rPr>
          <w:rFonts w:cstheme="minorHAnsi"/>
        </w:rPr>
        <w:tab/>
      </w:r>
      <w:r w:rsidRPr="00C03348">
        <w:rPr>
          <w:rFonts w:cstheme="minorHAnsi"/>
        </w:rPr>
        <w:t xml:space="preserve">20% </w:t>
      </w:r>
    </w:p>
    <w:p w:rsidR="00C03348" w:rsidRPr="00C03348" w:rsidRDefault="00C03348" w:rsidP="00C03348">
      <w:pPr>
        <w:tabs>
          <w:tab w:val="left" w:pos="904"/>
        </w:tabs>
        <w:rPr>
          <w:rFonts w:cstheme="minorHAnsi"/>
        </w:rPr>
      </w:pPr>
      <w:r w:rsidRPr="00C03348">
        <w:rPr>
          <w:rFonts w:cstheme="minorHAnsi"/>
        </w:rPr>
        <w:t xml:space="preserve">2 </w:t>
      </w:r>
      <w:r>
        <w:rPr>
          <w:rFonts w:cstheme="minorHAnsi"/>
        </w:rPr>
        <w:tab/>
      </w:r>
      <w:r>
        <w:rPr>
          <w:rFonts w:cstheme="minorHAnsi"/>
        </w:rPr>
        <w:tab/>
        <w:t xml:space="preserve">Create the Built Environment </w:t>
      </w:r>
      <w:r>
        <w:rPr>
          <w:rFonts w:cstheme="minorHAnsi"/>
        </w:rPr>
        <w:tab/>
      </w:r>
      <w:r>
        <w:rPr>
          <w:rFonts w:cstheme="minorHAnsi"/>
        </w:rPr>
        <w:tab/>
      </w:r>
      <w:r w:rsidRPr="00C03348">
        <w:rPr>
          <w:rFonts w:cstheme="minorHAnsi"/>
        </w:rPr>
        <w:t xml:space="preserve">External Examination </w:t>
      </w:r>
      <w:r>
        <w:rPr>
          <w:rFonts w:cstheme="minorHAnsi"/>
        </w:rPr>
        <w:tab/>
      </w:r>
      <w:r>
        <w:rPr>
          <w:rFonts w:cstheme="minorHAnsi"/>
        </w:rPr>
        <w:tab/>
      </w:r>
      <w:r>
        <w:rPr>
          <w:rFonts w:cstheme="minorHAnsi"/>
        </w:rPr>
        <w:tab/>
      </w:r>
      <w:r>
        <w:rPr>
          <w:rFonts w:cstheme="minorHAnsi"/>
        </w:rPr>
        <w:tab/>
      </w:r>
      <w:r w:rsidRPr="00C03348">
        <w:rPr>
          <w:rFonts w:cstheme="minorHAnsi"/>
        </w:rPr>
        <w:t xml:space="preserve">72 GLH 20% </w:t>
      </w:r>
    </w:p>
    <w:p w:rsidR="00C03348" w:rsidRPr="00C03348" w:rsidRDefault="00C03348" w:rsidP="00C03348">
      <w:pPr>
        <w:tabs>
          <w:tab w:val="left" w:pos="904"/>
        </w:tabs>
        <w:rPr>
          <w:rFonts w:cstheme="minorHAnsi"/>
        </w:rPr>
      </w:pPr>
      <w:r w:rsidRPr="00C03348">
        <w:rPr>
          <w:rFonts w:cstheme="minorHAnsi"/>
        </w:rPr>
        <w:t xml:space="preserve">3 </w:t>
      </w:r>
      <w:r>
        <w:rPr>
          <w:rFonts w:cstheme="minorHAnsi"/>
        </w:rPr>
        <w:tab/>
      </w:r>
      <w:r>
        <w:rPr>
          <w:rFonts w:cstheme="minorHAnsi"/>
        </w:rPr>
        <w:tab/>
      </w:r>
      <w:r w:rsidRPr="00C03348">
        <w:rPr>
          <w:rFonts w:cstheme="minorHAnsi"/>
        </w:rPr>
        <w:t>Value</w:t>
      </w:r>
      <w:r>
        <w:rPr>
          <w:rFonts w:cstheme="minorHAnsi"/>
        </w:rPr>
        <w:t xml:space="preserve"> and Use the Built Environment </w:t>
      </w:r>
      <w:r>
        <w:rPr>
          <w:rFonts w:cstheme="minorHAnsi"/>
        </w:rPr>
        <w:tab/>
      </w:r>
      <w:r w:rsidRPr="00C03348">
        <w:rPr>
          <w:rFonts w:cstheme="minorHAnsi"/>
        </w:rPr>
        <w:t xml:space="preserve">External Examination </w:t>
      </w:r>
      <w:r>
        <w:rPr>
          <w:rFonts w:cstheme="minorHAnsi"/>
        </w:rPr>
        <w:tab/>
      </w:r>
      <w:r>
        <w:rPr>
          <w:rFonts w:cstheme="minorHAnsi"/>
        </w:rPr>
        <w:tab/>
      </w:r>
      <w:r>
        <w:rPr>
          <w:rFonts w:cstheme="minorHAnsi"/>
        </w:rPr>
        <w:tab/>
      </w:r>
      <w:r>
        <w:rPr>
          <w:rFonts w:cstheme="minorHAnsi"/>
        </w:rPr>
        <w:tab/>
      </w:r>
      <w:r w:rsidRPr="00C03348">
        <w:rPr>
          <w:rFonts w:cstheme="minorHAnsi"/>
        </w:rPr>
        <w:t xml:space="preserve">72 GLH 20% </w:t>
      </w:r>
    </w:p>
    <w:p w:rsidR="00C03348" w:rsidRDefault="00C03348" w:rsidP="00C03348">
      <w:pPr>
        <w:tabs>
          <w:tab w:val="left" w:pos="904"/>
        </w:tabs>
        <w:rPr>
          <w:rFonts w:cstheme="minorHAnsi"/>
        </w:rPr>
      </w:pPr>
      <w:r w:rsidRPr="00C03348">
        <w:rPr>
          <w:rFonts w:cstheme="minorHAnsi"/>
        </w:rPr>
        <w:t xml:space="preserve">4 </w:t>
      </w:r>
      <w:r>
        <w:rPr>
          <w:rFonts w:cstheme="minorHAnsi"/>
        </w:rPr>
        <w:tab/>
      </w:r>
      <w:r>
        <w:rPr>
          <w:rFonts w:cstheme="minorHAnsi"/>
        </w:rPr>
        <w:tab/>
        <w:t xml:space="preserve">BIM and Construction Projects* </w:t>
      </w:r>
      <w:r>
        <w:rPr>
          <w:rFonts w:cstheme="minorHAnsi"/>
        </w:rPr>
        <w:tab/>
      </w:r>
      <w:r>
        <w:rPr>
          <w:rFonts w:cstheme="minorHAnsi"/>
        </w:rPr>
        <w:tab/>
      </w:r>
      <w:r w:rsidRPr="00C03348">
        <w:rPr>
          <w:rFonts w:cstheme="minorHAnsi"/>
        </w:rPr>
        <w:t xml:space="preserve">Internally </w:t>
      </w:r>
      <w:r>
        <w:rPr>
          <w:rFonts w:cstheme="minorHAnsi"/>
        </w:rPr>
        <w:t xml:space="preserve">Assessed Controlled Assignment         144 GLH </w:t>
      </w:r>
      <w:r w:rsidRPr="00C03348">
        <w:rPr>
          <w:rFonts w:cstheme="minorHAnsi"/>
        </w:rPr>
        <w:t>40%</w:t>
      </w:r>
    </w:p>
    <w:p w:rsidR="007767EF" w:rsidRDefault="007767EF" w:rsidP="00C03348">
      <w:pPr>
        <w:tabs>
          <w:tab w:val="left" w:pos="904"/>
        </w:tabs>
        <w:rPr>
          <w:rFonts w:cstheme="minorHAnsi"/>
        </w:rPr>
      </w:pPr>
    </w:p>
    <w:p w:rsidR="007767EF" w:rsidRPr="00515B6A" w:rsidRDefault="007767EF" w:rsidP="00C03348">
      <w:pPr>
        <w:tabs>
          <w:tab w:val="left" w:pos="904"/>
        </w:tabs>
        <w:rPr>
          <w:rFonts w:cstheme="minorHAnsi"/>
        </w:rPr>
      </w:pPr>
      <w:r>
        <w:rPr>
          <w:rFonts w:cstheme="minorHAnsi"/>
        </w:rPr>
        <w:t xml:space="preserve">Each external examination are entitled to one resit opportunity meaning that you will sit unit 2 and 3 in year 12 with the option to improve your grade in year 13. </w:t>
      </w:r>
      <w:bookmarkStart w:id="0" w:name="_GoBack"/>
      <w:bookmarkEnd w:id="0"/>
    </w:p>
    <w:p w:rsidR="00C03348" w:rsidRPr="007767EF" w:rsidRDefault="007767EF" w:rsidP="00C03348">
      <w:pPr>
        <w:tabs>
          <w:tab w:val="left" w:pos="904"/>
        </w:tabs>
        <w:rPr>
          <w:rFonts w:cstheme="minorHAnsi"/>
          <w:b/>
        </w:rPr>
      </w:pPr>
      <w:r w:rsidRPr="007767EF">
        <w:rPr>
          <w:rFonts w:cstheme="minorHAnsi"/>
          <w:b/>
        </w:rPr>
        <w:t>Useful Websites</w:t>
      </w:r>
    </w:p>
    <w:p w:rsidR="007767EF" w:rsidRPr="007767EF" w:rsidRDefault="007767EF" w:rsidP="007767EF">
      <w:pPr>
        <w:tabs>
          <w:tab w:val="left" w:pos="904"/>
        </w:tabs>
        <w:rPr>
          <w:rFonts w:cstheme="minorHAnsi"/>
        </w:rPr>
      </w:pPr>
      <w:r w:rsidRPr="007767EF">
        <w:rPr>
          <w:rFonts w:cstheme="minorHAnsi"/>
        </w:rPr>
        <w:t xml:space="preserve">Careers and further training http://www.citb.co.uk/careers-in-construction </w:t>
      </w:r>
    </w:p>
    <w:p w:rsidR="007767EF" w:rsidRPr="007767EF" w:rsidRDefault="007767EF" w:rsidP="007767EF">
      <w:pPr>
        <w:tabs>
          <w:tab w:val="left" w:pos="904"/>
        </w:tabs>
        <w:rPr>
          <w:rFonts w:cstheme="minorHAnsi"/>
        </w:rPr>
      </w:pPr>
      <w:r w:rsidRPr="007767EF">
        <w:rPr>
          <w:rFonts w:cstheme="minorHAnsi"/>
        </w:rPr>
        <w:t xml:space="preserve">Stages in the design process https://www.ribaplanofwork.com </w:t>
      </w:r>
    </w:p>
    <w:p w:rsidR="007767EF" w:rsidRPr="007767EF" w:rsidRDefault="007767EF" w:rsidP="007767EF">
      <w:pPr>
        <w:tabs>
          <w:tab w:val="left" w:pos="904"/>
        </w:tabs>
        <w:rPr>
          <w:rFonts w:cstheme="minorHAnsi"/>
        </w:rPr>
      </w:pPr>
      <w:r w:rsidRPr="007767EF">
        <w:rPr>
          <w:rFonts w:cstheme="minorHAnsi"/>
        </w:rPr>
        <w:t xml:space="preserve">Planning system 'plain English guide to the planning system’ https://www.gov.uk/government/uploads/system/uploads </w:t>
      </w:r>
    </w:p>
    <w:p w:rsidR="007767EF" w:rsidRPr="007767EF" w:rsidRDefault="007767EF" w:rsidP="007767EF">
      <w:pPr>
        <w:tabs>
          <w:tab w:val="left" w:pos="904"/>
        </w:tabs>
        <w:rPr>
          <w:rFonts w:cstheme="minorHAnsi"/>
        </w:rPr>
      </w:pPr>
      <w:r w:rsidRPr="007767EF">
        <w:rPr>
          <w:rFonts w:cstheme="minorHAnsi"/>
        </w:rPr>
        <w:t xml:space="preserve">Building Regulations https://www.gov.uk/government/collections/approveddocuments </w:t>
      </w:r>
    </w:p>
    <w:p w:rsidR="007767EF" w:rsidRPr="007767EF" w:rsidRDefault="007767EF" w:rsidP="007767EF">
      <w:pPr>
        <w:tabs>
          <w:tab w:val="left" w:pos="904"/>
        </w:tabs>
        <w:rPr>
          <w:rFonts w:cstheme="minorHAnsi"/>
        </w:rPr>
      </w:pPr>
      <w:r w:rsidRPr="007767EF">
        <w:rPr>
          <w:rFonts w:cstheme="minorHAnsi"/>
        </w:rPr>
        <w:t xml:space="preserve">Sustainability http://constructingexcellence.org.uk/resources/sustainableconstruction-checklist </w:t>
      </w:r>
    </w:p>
    <w:p w:rsidR="00C03348" w:rsidRPr="00515B6A" w:rsidRDefault="007767EF" w:rsidP="007767EF">
      <w:pPr>
        <w:tabs>
          <w:tab w:val="left" w:pos="904"/>
        </w:tabs>
        <w:rPr>
          <w:rFonts w:cstheme="minorHAnsi"/>
        </w:rPr>
      </w:pPr>
      <w:r w:rsidRPr="007767EF">
        <w:rPr>
          <w:rFonts w:cstheme="minorHAnsi"/>
        </w:rPr>
        <w:t>Environmental impact (BREEAM) http://www.bre.co.uk</w:t>
      </w:r>
    </w:p>
    <w:p w:rsidR="00C03348" w:rsidRPr="00515B6A" w:rsidRDefault="00C03348" w:rsidP="00C03348">
      <w:pPr>
        <w:tabs>
          <w:tab w:val="left" w:pos="904"/>
        </w:tabs>
        <w:rPr>
          <w:rFonts w:cstheme="minorHAnsi"/>
        </w:rPr>
      </w:pPr>
    </w:p>
    <w:p w:rsidR="00C03348" w:rsidRPr="00515B6A" w:rsidRDefault="00C03348" w:rsidP="00C03348">
      <w:pPr>
        <w:tabs>
          <w:tab w:val="left" w:pos="904"/>
        </w:tabs>
        <w:rPr>
          <w:rFonts w:cstheme="minorHAnsi"/>
        </w:rPr>
      </w:pPr>
    </w:p>
    <w:p w:rsidR="00C03348" w:rsidRPr="00515B6A" w:rsidRDefault="00C03348" w:rsidP="00C03348">
      <w:pPr>
        <w:tabs>
          <w:tab w:val="left" w:pos="904"/>
        </w:tabs>
        <w:rPr>
          <w:rFonts w:cstheme="minorHAnsi"/>
        </w:rPr>
      </w:pPr>
    </w:p>
    <w:p w:rsidR="00C03348" w:rsidRPr="00515B6A" w:rsidRDefault="00C03348" w:rsidP="00C03348">
      <w:pPr>
        <w:tabs>
          <w:tab w:val="left" w:pos="904"/>
        </w:tabs>
        <w:rPr>
          <w:rFonts w:cstheme="minorHAnsi"/>
        </w:rPr>
      </w:pPr>
    </w:p>
    <w:p w:rsidR="00C03348" w:rsidRPr="00515B6A" w:rsidRDefault="00C03348" w:rsidP="00C03348">
      <w:pPr>
        <w:tabs>
          <w:tab w:val="left" w:pos="904"/>
        </w:tabs>
        <w:rPr>
          <w:rFonts w:cstheme="minorHAnsi"/>
        </w:rPr>
      </w:pPr>
    </w:p>
    <w:p w:rsidR="00C03348" w:rsidRPr="00515B6A" w:rsidRDefault="00C03348" w:rsidP="00F74B1B">
      <w:pPr>
        <w:tabs>
          <w:tab w:val="left" w:pos="904"/>
        </w:tabs>
        <w:rPr>
          <w:rFonts w:cstheme="minorHAnsi"/>
        </w:rPr>
      </w:pPr>
    </w:p>
    <w:sectPr w:rsidR="00C03348" w:rsidRPr="00515B6A" w:rsidSect="00F74B1B">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694"/>
    <w:multiLevelType w:val="hybridMultilevel"/>
    <w:tmpl w:val="9380F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07B98"/>
    <w:multiLevelType w:val="hybridMultilevel"/>
    <w:tmpl w:val="B2B698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1B"/>
    <w:rsid w:val="001E4889"/>
    <w:rsid w:val="00263B90"/>
    <w:rsid w:val="00515B6A"/>
    <w:rsid w:val="00624C0E"/>
    <w:rsid w:val="006648AB"/>
    <w:rsid w:val="007219BB"/>
    <w:rsid w:val="007767EF"/>
    <w:rsid w:val="007E4BCB"/>
    <w:rsid w:val="008D0453"/>
    <w:rsid w:val="00992BA3"/>
    <w:rsid w:val="009E099F"/>
    <w:rsid w:val="00A11398"/>
    <w:rsid w:val="00A9487E"/>
    <w:rsid w:val="00BA4E9C"/>
    <w:rsid w:val="00BC0B84"/>
    <w:rsid w:val="00BC3E45"/>
    <w:rsid w:val="00C03348"/>
    <w:rsid w:val="00CC51E2"/>
    <w:rsid w:val="00D475FA"/>
    <w:rsid w:val="00F564F3"/>
    <w:rsid w:val="00F74B1B"/>
    <w:rsid w:val="00FB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5360"/>
  <w15:chartTrackingRefBased/>
  <w15:docId w15:val="{B72E9AFB-1F02-4145-B0FD-781F8159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89"/>
    <w:rPr>
      <w:color w:val="0563C1" w:themeColor="hyperlink"/>
      <w:u w:val="single"/>
    </w:rPr>
  </w:style>
  <w:style w:type="paragraph" w:styleId="NoSpacing">
    <w:name w:val="No Spacing"/>
    <w:uiPriority w:val="1"/>
    <w:qFormat/>
    <w:rsid w:val="00FB4AA2"/>
    <w:pPr>
      <w:spacing w:after="0" w:line="240" w:lineRule="auto"/>
    </w:pPr>
  </w:style>
  <w:style w:type="character" w:styleId="FollowedHyperlink">
    <w:name w:val="FollowedHyperlink"/>
    <w:basedOn w:val="DefaultParagraphFont"/>
    <w:uiPriority w:val="99"/>
    <w:semiHidden/>
    <w:unhideWhenUsed/>
    <w:rsid w:val="00BC0B84"/>
    <w:rPr>
      <w:color w:val="954F72" w:themeColor="followedHyperlink"/>
      <w:u w:val="single"/>
    </w:rPr>
  </w:style>
  <w:style w:type="paragraph" w:styleId="ListParagraph">
    <w:name w:val="List Paragraph"/>
    <w:basedOn w:val="Normal"/>
    <w:uiPriority w:val="34"/>
    <w:qFormat/>
    <w:rsid w:val="0066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group.com/expertise/sustainability/" TargetMode="External"/><Relationship Id="rId3" Type="http://schemas.openxmlformats.org/officeDocument/2006/relationships/settings" Target="settings.xml"/><Relationship Id="rId7" Type="http://schemas.openxmlformats.org/officeDocument/2006/relationships/hyperlink" Target="http://services.swale.gov.uk/media/files/localplan/adoptedlocalplanfinalwebver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Inns</dc:creator>
  <cp:keywords/>
  <dc:description/>
  <cp:lastModifiedBy>Craig Inns</cp:lastModifiedBy>
  <cp:revision>2</cp:revision>
  <dcterms:created xsi:type="dcterms:W3CDTF">2020-05-21T15:01:00Z</dcterms:created>
  <dcterms:modified xsi:type="dcterms:W3CDTF">2020-05-21T15:01:00Z</dcterms:modified>
</cp:coreProperties>
</file>